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E39" w:rsidRPr="00F069C1" w:rsidRDefault="00AC7E39" w:rsidP="00AC7E39">
      <w:pPr>
        <w:pBdr>
          <w:bottom w:val="single" w:sz="4" w:space="1" w:color="auto"/>
        </w:pBdr>
        <w:spacing w:after="0"/>
        <w:jc w:val="center"/>
        <w:rPr>
          <w:b/>
          <w:sz w:val="32"/>
          <w:szCs w:val="32"/>
        </w:rPr>
      </w:pPr>
      <w:r w:rsidRPr="00F069C1">
        <w:rPr>
          <w:b/>
          <w:sz w:val="32"/>
          <w:szCs w:val="32"/>
        </w:rPr>
        <w:t xml:space="preserve">HP </w:t>
      </w:r>
      <w:r>
        <w:rPr>
          <w:b/>
          <w:sz w:val="32"/>
          <w:szCs w:val="32"/>
        </w:rPr>
        <w:t xml:space="preserve">9 </w:t>
      </w:r>
      <w:r w:rsidR="00EE1EBB">
        <w:rPr>
          <w:b/>
          <w:sz w:val="32"/>
          <w:szCs w:val="32"/>
        </w:rPr>
        <w:t xml:space="preserve">Hojdačka pre dvoch kyvadlová </w:t>
      </w:r>
    </w:p>
    <w:p w:rsidR="004E6DB8" w:rsidRPr="00963119" w:rsidRDefault="004E6DB8" w:rsidP="004E6DB8">
      <w:pPr>
        <w:jc w:val="center"/>
        <w:rPr>
          <w:sz w:val="24"/>
          <w:szCs w:val="24"/>
        </w:rPr>
      </w:pPr>
      <w:r w:rsidRPr="00963119">
        <w:rPr>
          <w:sz w:val="24"/>
          <w:szCs w:val="24"/>
        </w:rPr>
        <w:t>Vizualizácie majú informatívny charakter</w:t>
      </w:r>
    </w:p>
    <w:p w:rsidR="007141FA" w:rsidRDefault="00AC7E39"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2988421</wp:posOffset>
            </wp:positionH>
            <wp:positionV relativeFrom="paragraph">
              <wp:posOffset>108834</wp:posOffset>
            </wp:positionV>
            <wp:extent cx="2631882" cy="2158340"/>
            <wp:effectExtent l="0" t="0" r="0" b="0"/>
            <wp:wrapTight wrapText="bothSides">
              <wp:wrapPolygon edited="0">
                <wp:start x="0" y="0"/>
                <wp:lineTo x="0" y="21358"/>
                <wp:lineTo x="21423" y="21358"/>
                <wp:lineTo x="21423" y="0"/>
                <wp:lineTo x="0" y="0"/>
              </wp:wrapPolygon>
            </wp:wrapTight>
            <wp:docPr id="3" name="Obrázok 3" descr="(EN) Plandrawing Picture - PCM158_Footprint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(EN) Plandrawing Picture - PCM158_Footprint_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882" cy="21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283845</wp:posOffset>
            </wp:positionV>
            <wp:extent cx="3180080" cy="1852295"/>
            <wp:effectExtent l="0" t="0" r="1270" b="0"/>
            <wp:wrapTight wrapText="bothSides">
              <wp:wrapPolygon edited="0">
                <wp:start x="0" y="0"/>
                <wp:lineTo x="0" y="21326"/>
                <wp:lineTo x="21479" y="21326"/>
                <wp:lineTo x="21479" y="0"/>
                <wp:lineTo x="0" y="0"/>
              </wp:wrapPolygon>
            </wp:wrapTight>
            <wp:docPr id="1" name="Obrázok 1" descr="WeHopper, Mini - PCM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Hopper, Mini - PCM158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848"/>
                    <a:stretch/>
                  </pic:blipFill>
                  <pic:spPr bwMode="auto">
                    <a:xfrm>
                      <a:off x="0" y="0"/>
                      <a:ext cx="3199462" cy="1863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A237F" w:rsidRDefault="004A237F">
      <w:r w:rsidRPr="00AC7E39"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2206376</wp:posOffset>
            </wp:positionV>
            <wp:extent cx="5760720" cy="1757045"/>
            <wp:effectExtent l="0" t="0" r="0" b="0"/>
            <wp:wrapTopAndBottom/>
            <wp:docPr id="2" name="Obrázok 2" descr="(EN) Sidedrawing Picture - PCM158_Side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EN) Sidedrawing Picture - PCM158_Side_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237F" w:rsidRDefault="004A237F"/>
    <w:p w:rsidR="009002A9" w:rsidRPr="009002A9" w:rsidRDefault="009002A9" w:rsidP="009002A9">
      <w:pPr>
        <w:rPr>
          <w:rFonts w:cstheme="minorHAnsi"/>
          <w:b/>
          <w:sz w:val="24"/>
          <w:szCs w:val="24"/>
        </w:rPr>
      </w:pPr>
      <w:r w:rsidRPr="009002A9">
        <w:rPr>
          <w:b/>
          <w:sz w:val="24"/>
          <w:szCs w:val="24"/>
        </w:rPr>
        <w:t>Hojdačka pre dvoch kyvadlová pr</w:t>
      </w:r>
      <w:r w:rsidRPr="009002A9">
        <w:rPr>
          <w:rFonts w:cstheme="minorHAnsi"/>
          <w:b/>
          <w:sz w:val="24"/>
          <w:szCs w:val="24"/>
        </w:rPr>
        <w:t xml:space="preserve">e deti od 3 rokov </w:t>
      </w:r>
    </w:p>
    <w:p w:rsidR="009002A9" w:rsidRPr="007C3708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  <w:r>
        <w:rPr>
          <w:rFonts w:eastAsia="Times New Roman" w:cstheme="minorHAnsi"/>
          <w:color w:val="333333"/>
          <w:sz w:val="24"/>
          <w:szCs w:val="24"/>
          <w:lang w:eastAsia="sk-SK"/>
        </w:rPr>
        <w:t xml:space="preserve">Rozmery </w:t>
      </w:r>
      <w:proofErr w:type="spellStart"/>
      <w:r>
        <w:rPr>
          <w:rFonts w:eastAsia="Times New Roman" w:cstheme="minorHAnsi"/>
          <w:color w:val="333333"/>
          <w:sz w:val="24"/>
          <w:szCs w:val="24"/>
          <w:lang w:eastAsia="sk-SK"/>
        </w:rPr>
        <w:t>DxŠxV</w:t>
      </w:r>
      <w:proofErr w:type="spellEnd"/>
      <w:r w:rsidR="00F5242D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min.</w:t>
      </w:r>
      <w:r w:rsidRPr="007C3708">
        <w:rPr>
          <w:rFonts w:eastAsia="Times New Roman" w:cstheme="minorHAnsi"/>
          <w:color w:val="333333"/>
          <w:sz w:val="24"/>
          <w:szCs w:val="24"/>
          <w:lang w:eastAsia="sk-SK"/>
        </w:rPr>
        <w:t>:</w:t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 w:rsidR="00F5242D">
        <w:rPr>
          <w:rFonts w:eastAsia="Times New Roman" w:cstheme="minorHAnsi"/>
          <w:color w:val="333333"/>
          <w:sz w:val="24"/>
          <w:szCs w:val="24"/>
          <w:lang w:eastAsia="sk-SK"/>
        </w:rPr>
        <w:t>210 x 40 x 120</w:t>
      </w:r>
      <w:r w:rsidRPr="009002A9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cm</w:t>
      </w:r>
    </w:p>
    <w:p w:rsidR="009002A9" w:rsidRPr="007C3708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  <w:r w:rsidRPr="007C3708">
        <w:rPr>
          <w:rFonts w:eastAsia="Times New Roman" w:cstheme="minorHAnsi"/>
          <w:color w:val="333333"/>
          <w:sz w:val="24"/>
          <w:szCs w:val="24"/>
          <w:lang w:eastAsia="sk-SK"/>
        </w:rPr>
        <w:t>Skupina kľúčových používateľov:</w:t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>
        <w:rPr>
          <w:rFonts w:eastAsia="Times New Roman" w:cstheme="minorHAnsi"/>
          <w:color w:val="333333"/>
          <w:sz w:val="24"/>
          <w:szCs w:val="24"/>
          <w:lang w:eastAsia="sk-SK"/>
        </w:rPr>
        <w:t xml:space="preserve">3 </w:t>
      </w:r>
      <w:r w:rsidR="002B0603">
        <w:rPr>
          <w:rFonts w:eastAsia="Times New Roman" w:cstheme="minorHAnsi"/>
          <w:color w:val="333333"/>
          <w:sz w:val="24"/>
          <w:szCs w:val="24"/>
          <w:lang w:eastAsia="sk-SK"/>
        </w:rPr>
        <w:t>+</w:t>
      </w:r>
      <w:bookmarkStart w:id="0" w:name="_GoBack"/>
      <w:bookmarkEnd w:id="0"/>
    </w:p>
    <w:p w:rsidR="009002A9" w:rsidRPr="008A6736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  <w:r w:rsidRPr="007C3708">
        <w:rPr>
          <w:rFonts w:eastAsia="Times New Roman" w:cstheme="minorHAnsi"/>
          <w:color w:val="333333"/>
          <w:sz w:val="24"/>
          <w:szCs w:val="24"/>
          <w:lang w:eastAsia="sk-SK"/>
        </w:rPr>
        <w:t>Kapacita (používatelia):</w:t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>
        <w:rPr>
          <w:rFonts w:eastAsia="Times New Roman" w:cstheme="minorHAnsi"/>
          <w:color w:val="333333"/>
          <w:sz w:val="24"/>
          <w:szCs w:val="24"/>
          <w:lang w:eastAsia="sk-SK"/>
        </w:rPr>
        <w:t>2</w:t>
      </w:r>
    </w:p>
    <w:p w:rsidR="009002A9" w:rsidRPr="00DC2C17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  <w:r w:rsidRPr="00DC2C17">
        <w:rPr>
          <w:rFonts w:eastAsia="Times New Roman" w:cstheme="minorHAnsi"/>
          <w:color w:val="333333"/>
          <w:sz w:val="24"/>
          <w:szCs w:val="24"/>
          <w:lang w:eastAsia="sk-SK"/>
        </w:rPr>
        <w:t>Maximálna výška pádu:</w:t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>
        <w:rPr>
          <w:rFonts w:eastAsia="Times New Roman" w:cstheme="minorHAnsi"/>
          <w:color w:val="333333"/>
          <w:sz w:val="24"/>
          <w:szCs w:val="24"/>
          <w:lang w:eastAsia="sk-SK"/>
        </w:rPr>
        <w:t>8</w:t>
      </w:r>
      <w:r w:rsidRPr="00DC2C17">
        <w:rPr>
          <w:rFonts w:eastAsia="Times New Roman" w:cstheme="minorHAnsi"/>
          <w:color w:val="333333"/>
          <w:sz w:val="24"/>
          <w:szCs w:val="24"/>
          <w:lang w:eastAsia="sk-SK"/>
        </w:rPr>
        <w:t>0,00 cm</w:t>
      </w:r>
    </w:p>
    <w:p w:rsidR="009002A9" w:rsidRDefault="009002A9" w:rsidP="009002A9">
      <w:pPr>
        <w:shd w:val="clear" w:color="auto" w:fill="FFFFFF"/>
        <w:spacing w:after="0" w:line="240" w:lineRule="auto"/>
        <w:jc w:val="both"/>
        <w:rPr>
          <w:bCs/>
          <w:sz w:val="24"/>
          <w:szCs w:val="24"/>
        </w:rPr>
      </w:pPr>
      <w:r w:rsidRPr="00DC2C17">
        <w:rPr>
          <w:rFonts w:eastAsia="Times New Roman" w:cstheme="minorHAnsi"/>
          <w:color w:val="333333"/>
          <w:sz w:val="24"/>
          <w:szCs w:val="24"/>
          <w:lang w:eastAsia="sk-SK"/>
        </w:rPr>
        <w:t>Bezpečnostná plocha povrchu:</w:t>
      </w:r>
      <w:r w:rsidRPr="008A6736">
        <w:rPr>
          <w:rFonts w:eastAsia="Times New Roman" w:cstheme="minorHAnsi"/>
          <w:color w:val="333333"/>
          <w:sz w:val="24"/>
          <w:szCs w:val="24"/>
          <w:lang w:eastAsia="sk-SK"/>
        </w:rPr>
        <w:tab/>
      </w:r>
      <w:r w:rsidR="00E00BD8">
        <w:rPr>
          <w:sz w:val="24"/>
          <w:szCs w:val="24"/>
        </w:rPr>
        <w:t xml:space="preserve">v súlade s STN EN 1176 –1 a STN </w:t>
      </w:r>
      <w:r w:rsidR="00E00BD8">
        <w:rPr>
          <w:bCs/>
          <w:sz w:val="24"/>
          <w:szCs w:val="24"/>
        </w:rPr>
        <w:t>EN 1177 +AC</w:t>
      </w:r>
    </w:p>
    <w:p w:rsidR="008756A5" w:rsidRPr="008756A5" w:rsidRDefault="008756A5" w:rsidP="008756A5">
      <w:pPr>
        <w:pStyle w:val="Bezriadkovania"/>
        <w:rPr>
          <w:sz w:val="24"/>
          <w:szCs w:val="24"/>
        </w:rPr>
      </w:pPr>
      <w:r w:rsidRPr="008756A5">
        <w:rPr>
          <w:sz w:val="24"/>
          <w:szCs w:val="24"/>
        </w:rPr>
        <w:t xml:space="preserve">Herný prvok musí spĺňať kritériá bezpečnosti a kvality definované normou STN EN 1176. </w:t>
      </w:r>
    </w:p>
    <w:p w:rsidR="00F5242D" w:rsidRDefault="00F5242D" w:rsidP="009002A9">
      <w:pPr>
        <w:shd w:val="clear" w:color="auto" w:fill="FFFFFF"/>
        <w:spacing w:after="0" w:line="240" w:lineRule="auto"/>
        <w:jc w:val="both"/>
        <w:rPr>
          <w:bCs/>
          <w:sz w:val="24"/>
          <w:szCs w:val="24"/>
        </w:rPr>
      </w:pPr>
    </w:p>
    <w:p w:rsidR="00F5242D" w:rsidRDefault="00F5242D" w:rsidP="009002A9">
      <w:pPr>
        <w:shd w:val="clear" w:color="auto" w:fill="FFFFFF"/>
        <w:spacing w:after="0" w:line="240" w:lineRule="auto"/>
        <w:jc w:val="both"/>
        <w:rPr>
          <w:bCs/>
          <w:sz w:val="24"/>
          <w:szCs w:val="24"/>
        </w:rPr>
      </w:pPr>
    </w:p>
    <w:p w:rsidR="00E00BD8" w:rsidRDefault="00E00BD8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</w:p>
    <w:p w:rsidR="009002A9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  <w:r w:rsidRPr="00214EF3">
        <w:rPr>
          <w:rFonts w:eastAsia="Times New Roman" w:cstheme="minorHAnsi"/>
          <w:color w:val="333333"/>
          <w:sz w:val="24"/>
          <w:szCs w:val="24"/>
          <w:lang w:eastAsia="sk-SK"/>
        </w:rPr>
        <w:t xml:space="preserve">Oceľové povrchy </w:t>
      </w:r>
      <w:r w:rsidR="004E6DB8">
        <w:rPr>
          <w:rFonts w:eastAsia="Times New Roman" w:cstheme="minorHAnsi"/>
          <w:color w:val="333333"/>
          <w:sz w:val="24"/>
          <w:szCs w:val="24"/>
          <w:lang w:eastAsia="sk-SK"/>
        </w:rPr>
        <w:t>musia byť</w:t>
      </w:r>
      <w:r w:rsidRPr="00214EF3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zvnútra aj zvonka</w:t>
      </w:r>
      <w:r w:rsidR="004E6DB8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ošetrené</w:t>
      </w:r>
      <w:r w:rsidRPr="00214EF3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bezolovnatým zinkom a povrchovou úpravou práškovou farbou. Galvanizácia má vynikajúcu odolnosť proti korózii vo vonkajšom prostredí a vyžaduje nízku údržbu. </w:t>
      </w:r>
      <w:r w:rsidR="004E6DB8">
        <w:rPr>
          <w:rFonts w:eastAsia="Times New Roman" w:cstheme="minorHAnsi"/>
          <w:color w:val="333333"/>
          <w:sz w:val="24"/>
          <w:szCs w:val="24"/>
          <w:lang w:eastAsia="sk-SK"/>
        </w:rPr>
        <w:t>Sedadlá musia byť</w:t>
      </w:r>
      <w:r w:rsidRPr="009002A9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s konštrukčným jadrom z PP a mäkšou vonkajšou vrstvou z čierneho TPV. TPV má vysokú odolnosť proti nárazu v širokom teplotnom rozsahu, čo tiež zaisťuje odolnosť proti vandalizmu na všetkých miestach.</w:t>
      </w:r>
      <w:r w:rsidR="004E6DB8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Veľké zaoblené rukoväte musia byť</w:t>
      </w:r>
      <w:r w:rsidRPr="009002A9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privarené priamo na hlavnú rúrku, aby sa zabezpečila vysoká odolnosť. </w:t>
      </w:r>
      <w:r w:rsidR="004E6DB8">
        <w:rPr>
          <w:rFonts w:eastAsia="Times New Roman" w:cstheme="minorHAnsi"/>
          <w:color w:val="333333"/>
          <w:sz w:val="24"/>
          <w:szCs w:val="24"/>
          <w:lang w:eastAsia="sk-SK"/>
        </w:rPr>
        <w:t>Kývavý pohyb musí byť</w:t>
      </w:r>
      <w:r w:rsidRPr="009002A9">
        <w:rPr>
          <w:rFonts w:eastAsia="Times New Roman" w:cstheme="minorHAnsi"/>
          <w:color w:val="333333"/>
          <w:sz w:val="24"/>
          <w:szCs w:val="24"/>
          <w:lang w:eastAsia="sk-SK"/>
        </w:rPr>
        <w:t xml:space="preserve"> riadený odolným gumovým torzným pružinovým prvkom. Gumový prvok zaisťuje tlmený pohyb hore a dole.</w:t>
      </w:r>
    </w:p>
    <w:p w:rsidR="00AC7E39" w:rsidRPr="009002A9" w:rsidRDefault="00AC7E39">
      <w:pPr>
        <w:rPr>
          <w:rFonts w:eastAsia="Times New Roman" w:cstheme="minorHAnsi"/>
          <w:color w:val="333333"/>
          <w:sz w:val="24"/>
          <w:szCs w:val="24"/>
          <w:lang w:eastAsia="sk-SK"/>
        </w:rPr>
      </w:pPr>
    </w:p>
    <w:sectPr w:rsidR="00AC7E39" w:rsidRPr="009002A9" w:rsidSect="00681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7E39"/>
    <w:rsid w:val="002B0603"/>
    <w:rsid w:val="004A237F"/>
    <w:rsid w:val="004E6DB8"/>
    <w:rsid w:val="006811A1"/>
    <w:rsid w:val="007141FA"/>
    <w:rsid w:val="0079354C"/>
    <w:rsid w:val="008756A5"/>
    <w:rsid w:val="009002A9"/>
    <w:rsid w:val="00A117FF"/>
    <w:rsid w:val="00AC7E39"/>
    <w:rsid w:val="00C82969"/>
    <w:rsid w:val="00E00BD8"/>
    <w:rsid w:val="00EE1EBB"/>
    <w:rsid w:val="00F52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35508-7229-482B-B701-F5B46F36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C7E3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viiyi">
    <w:name w:val="viiyi"/>
    <w:basedOn w:val="Predvolenpsmoodseku"/>
    <w:rsid w:val="009002A9"/>
  </w:style>
  <w:style w:type="character" w:customStyle="1" w:styleId="jlqj4b">
    <w:name w:val="jlqj4b"/>
    <w:basedOn w:val="Predvolenpsmoodseku"/>
    <w:rsid w:val="009002A9"/>
  </w:style>
  <w:style w:type="paragraph" w:styleId="Bezriadkovania">
    <w:name w:val="No Spacing"/>
    <w:uiPriority w:val="1"/>
    <w:qFormat/>
    <w:rsid w:val="00875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924</Characters>
  <Application>Microsoft Office Word</Application>
  <DocSecurity>0</DocSecurity>
  <Lines>7</Lines>
  <Paragraphs>2</Paragraphs>
  <ScaleCrop>false</ScaleCrop>
  <Company>Mestský úrad v Nitre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Jakubčinová Zuzana, Ing.</cp:lastModifiedBy>
  <cp:revision>12</cp:revision>
  <dcterms:created xsi:type="dcterms:W3CDTF">2022-01-12T13:40:00Z</dcterms:created>
  <dcterms:modified xsi:type="dcterms:W3CDTF">2022-03-21T08:52:00Z</dcterms:modified>
</cp:coreProperties>
</file>